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501" w:rsidRDefault="00DC0501" w:rsidP="00DC0501">
      <w:pPr>
        <w:jc w:val="center"/>
        <w:rPr>
          <w:b/>
          <w:i/>
          <w:color w:val="FF0000"/>
          <w:sz w:val="28"/>
          <w:szCs w:val="28"/>
        </w:rPr>
      </w:pPr>
      <w:bookmarkStart w:id="0" w:name="OLE_LINK1"/>
      <w:r w:rsidRPr="00DC0501">
        <w:rPr>
          <w:b/>
          <w:i/>
          <w:color w:val="FF0000"/>
          <w:sz w:val="28"/>
          <w:szCs w:val="28"/>
        </w:rPr>
        <w:t>CONCENSO DE WASHINGTON</w:t>
      </w:r>
    </w:p>
    <w:p w:rsidR="00DC4479" w:rsidRDefault="00DC4479" w:rsidP="00DC0501">
      <w:pPr>
        <w:jc w:val="center"/>
        <w:rPr>
          <w:b/>
          <w:sz w:val="24"/>
          <w:szCs w:val="24"/>
          <w:lang w:val="en-US"/>
        </w:rPr>
      </w:pPr>
    </w:p>
    <w:p w:rsidR="00DC0501" w:rsidRDefault="00DC0501" w:rsidP="00DC0501">
      <w:pPr>
        <w:jc w:val="both"/>
        <w:rPr>
          <w:lang w:val="en-US"/>
        </w:rPr>
      </w:pPr>
      <w:r w:rsidRPr="00DC0501">
        <w:rPr>
          <w:b/>
          <w:sz w:val="24"/>
          <w:szCs w:val="24"/>
          <w:lang w:val="en-US"/>
        </w:rPr>
        <w:t>In 1989, John Williamson outlined a set of desirable economic reforms targeted at developing countries that he deemed broadly supported by policymakers in Washington</w:t>
      </w:r>
      <w:r w:rsidRPr="005A28DB">
        <w:rPr>
          <w:lang w:val="en-US"/>
        </w:rPr>
        <w:t xml:space="preserve">. </w:t>
      </w:r>
    </w:p>
    <w:p w:rsidR="00DC0501" w:rsidRPr="00077B34" w:rsidRDefault="00DC0501" w:rsidP="00DC0501">
      <w:pPr>
        <w:jc w:val="both"/>
        <w:rPr>
          <w:sz w:val="24"/>
          <w:szCs w:val="24"/>
          <w:lang w:val="en-US"/>
        </w:rPr>
      </w:pPr>
      <w:r w:rsidRPr="00077B34">
        <w:rPr>
          <w:sz w:val="24"/>
          <w:szCs w:val="24"/>
          <w:lang w:val="en-US"/>
        </w:rPr>
        <w:t>Dubbed the “Washington Consensus”, it addressed economic policy instruments perceived by those in Washington to be important to both the growth of developing countries and their ability to secure financial support and investment. The ten topics addressed were as follows:</w:t>
      </w:r>
    </w:p>
    <w:p w:rsidR="00DC0501" w:rsidRPr="00077B34" w:rsidRDefault="00DC0501" w:rsidP="00DC0501">
      <w:pPr>
        <w:jc w:val="both"/>
        <w:rPr>
          <w:sz w:val="24"/>
          <w:szCs w:val="24"/>
          <w:lang w:val="en-US"/>
        </w:rPr>
      </w:pPr>
      <w:bookmarkStart w:id="1" w:name="_GoBack"/>
      <w:bookmarkEnd w:id="1"/>
      <w:r w:rsidRPr="00077B34">
        <w:rPr>
          <w:b/>
          <w:i/>
          <w:sz w:val="24"/>
          <w:szCs w:val="24"/>
          <w:lang w:val="en-US"/>
        </w:rPr>
        <w:t>1</w:t>
      </w:r>
      <w:r w:rsidRPr="00077B34">
        <w:rPr>
          <w:b/>
          <w:i/>
          <w:sz w:val="24"/>
          <w:szCs w:val="24"/>
        </w:rPr>
        <w:t></w:t>
      </w:r>
      <w:r w:rsidRPr="00077B34">
        <w:rPr>
          <w:b/>
          <w:i/>
          <w:sz w:val="24"/>
          <w:szCs w:val="24"/>
          <w:lang w:val="en-US"/>
        </w:rPr>
        <w:t xml:space="preserve"> Fiscal Discipline</w:t>
      </w:r>
      <w:r w:rsidRPr="00077B34">
        <w:rPr>
          <w:sz w:val="24"/>
          <w:szCs w:val="24"/>
          <w:lang w:val="en-US"/>
        </w:rPr>
        <w:t>: Large and sustained fiscal deficits contribute to inflation and capital flight. Therefore, governments should keep them to a minimum.</w:t>
      </w:r>
    </w:p>
    <w:p w:rsidR="00DC0501" w:rsidRPr="00077B34" w:rsidRDefault="00DC0501" w:rsidP="00DC0501">
      <w:pPr>
        <w:jc w:val="both"/>
        <w:rPr>
          <w:sz w:val="24"/>
          <w:szCs w:val="24"/>
          <w:lang w:val="en-US"/>
        </w:rPr>
      </w:pPr>
      <w:r w:rsidRPr="00077B34">
        <w:rPr>
          <w:b/>
          <w:i/>
          <w:sz w:val="24"/>
          <w:szCs w:val="24"/>
          <w:lang w:val="en-US"/>
        </w:rPr>
        <w:t>2</w:t>
      </w:r>
      <w:r w:rsidRPr="00077B34">
        <w:rPr>
          <w:b/>
          <w:i/>
          <w:sz w:val="24"/>
          <w:szCs w:val="24"/>
          <w:lang w:val="en-US"/>
        </w:rPr>
        <w:t> Public Expenditure Priorities</w:t>
      </w:r>
      <w:r w:rsidRPr="00077B34">
        <w:rPr>
          <w:sz w:val="24"/>
          <w:szCs w:val="24"/>
          <w:lang w:val="en-US"/>
        </w:rPr>
        <w:t xml:space="preserve">: Subsidies need to be </w:t>
      </w:r>
      <w:proofErr w:type="gramStart"/>
      <w:r w:rsidRPr="00077B34">
        <w:rPr>
          <w:sz w:val="24"/>
          <w:szCs w:val="24"/>
          <w:lang w:val="en-US"/>
        </w:rPr>
        <w:t>reduced</w:t>
      </w:r>
      <w:proofErr w:type="gramEnd"/>
      <w:r w:rsidRPr="00077B34">
        <w:rPr>
          <w:sz w:val="24"/>
          <w:szCs w:val="24"/>
          <w:lang w:val="en-US"/>
        </w:rPr>
        <w:t xml:space="preserve"> or eliminated.  Government spending </w:t>
      </w:r>
      <w:proofErr w:type="gramStart"/>
      <w:r w:rsidRPr="00077B34">
        <w:rPr>
          <w:sz w:val="24"/>
          <w:szCs w:val="24"/>
          <w:lang w:val="en-US"/>
        </w:rPr>
        <w:t>should be redirected</w:t>
      </w:r>
      <w:proofErr w:type="gramEnd"/>
      <w:r w:rsidRPr="00077B34">
        <w:rPr>
          <w:sz w:val="24"/>
          <w:szCs w:val="24"/>
          <w:lang w:val="en-US"/>
        </w:rPr>
        <w:t xml:space="preserve"> toward education, health, and infrastructure development.</w:t>
      </w:r>
    </w:p>
    <w:p w:rsidR="00DC0501" w:rsidRPr="00077B34" w:rsidRDefault="00DC0501" w:rsidP="00DC0501">
      <w:pPr>
        <w:jc w:val="both"/>
        <w:rPr>
          <w:sz w:val="24"/>
          <w:szCs w:val="24"/>
          <w:lang w:val="en-US"/>
        </w:rPr>
      </w:pPr>
      <w:r w:rsidRPr="00077B34">
        <w:rPr>
          <w:b/>
          <w:i/>
          <w:sz w:val="24"/>
          <w:szCs w:val="24"/>
          <w:lang w:val="en-US"/>
        </w:rPr>
        <w:t>3</w:t>
      </w:r>
      <w:r w:rsidRPr="00077B34">
        <w:rPr>
          <w:b/>
          <w:i/>
          <w:sz w:val="24"/>
          <w:szCs w:val="24"/>
          <w:lang w:val="en-US"/>
        </w:rPr>
        <w:t> Tax Reform</w:t>
      </w:r>
      <w:r w:rsidRPr="00077B34">
        <w:rPr>
          <w:sz w:val="24"/>
          <w:szCs w:val="24"/>
          <w:lang w:val="en-US"/>
        </w:rPr>
        <w:t>: The tax base “should be broad” and marginal tax rates “should be moderate.”</w:t>
      </w:r>
    </w:p>
    <w:p w:rsidR="00DC0501" w:rsidRPr="00077B34" w:rsidRDefault="00DC0501" w:rsidP="00DC0501">
      <w:pPr>
        <w:jc w:val="both"/>
        <w:rPr>
          <w:sz w:val="24"/>
          <w:szCs w:val="24"/>
          <w:lang w:val="en-US"/>
        </w:rPr>
      </w:pPr>
      <w:r w:rsidRPr="00077B34">
        <w:rPr>
          <w:b/>
          <w:i/>
          <w:sz w:val="24"/>
          <w:szCs w:val="24"/>
          <w:lang w:val="en-US"/>
        </w:rPr>
        <w:t>4</w:t>
      </w:r>
      <w:r w:rsidRPr="00077B34">
        <w:rPr>
          <w:b/>
          <w:i/>
          <w:sz w:val="24"/>
          <w:szCs w:val="24"/>
          <w:lang w:val="en-US"/>
        </w:rPr>
        <w:t> Interest Rates</w:t>
      </w:r>
      <w:r w:rsidRPr="00077B34">
        <w:rPr>
          <w:sz w:val="24"/>
          <w:szCs w:val="24"/>
          <w:lang w:val="en-US"/>
        </w:rPr>
        <w:t>: Domestic financial markets should determine a country’s interest rates. Positive real interest rates discourage capital flight and increase savings.</w:t>
      </w:r>
    </w:p>
    <w:p w:rsidR="00DC0501" w:rsidRPr="00077B34" w:rsidRDefault="00DC0501" w:rsidP="00DC0501">
      <w:pPr>
        <w:jc w:val="both"/>
        <w:rPr>
          <w:sz w:val="24"/>
          <w:szCs w:val="24"/>
          <w:lang w:val="en-US"/>
        </w:rPr>
      </w:pPr>
      <w:r w:rsidRPr="00077B34">
        <w:rPr>
          <w:b/>
          <w:i/>
          <w:sz w:val="24"/>
          <w:szCs w:val="24"/>
          <w:lang w:val="en-US"/>
        </w:rPr>
        <w:t>5</w:t>
      </w:r>
      <w:r w:rsidRPr="00077B34">
        <w:rPr>
          <w:b/>
          <w:i/>
          <w:sz w:val="24"/>
          <w:szCs w:val="24"/>
          <w:lang w:val="en-US"/>
        </w:rPr>
        <w:t> Exchange Rates</w:t>
      </w:r>
      <w:r w:rsidRPr="00077B34">
        <w:rPr>
          <w:sz w:val="24"/>
          <w:szCs w:val="24"/>
          <w:lang w:val="en-US"/>
        </w:rPr>
        <w:t>: Developing countries must adopt a “competitive” exchange rate that will bolster exports by making them cheaper abroad.</w:t>
      </w:r>
    </w:p>
    <w:p w:rsidR="00DC0501" w:rsidRPr="00077B34" w:rsidRDefault="00DC0501" w:rsidP="00DC0501">
      <w:pPr>
        <w:jc w:val="both"/>
        <w:rPr>
          <w:sz w:val="24"/>
          <w:szCs w:val="24"/>
          <w:lang w:val="en-US"/>
        </w:rPr>
      </w:pPr>
      <w:r w:rsidRPr="00077B34">
        <w:rPr>
          <w:b/>
          <w:i/>
          <w:sz w:val="24"/>
          <w:szCs w:val="24"/>
          <w:lang w:val="en-US"/>
        </w:rPr>
        <w:t>6</w:t>
      </w:r>
      <w:r w:rsidRPr="00077B34">
        <w:rPr>
          <w:b/>
          <w:i/>
          <w:sz w:val="24"/>
          <w:szCs w:val="24"/>
          <w:lang w:val="en-US"/>
        </w:rPr>
        <w:t> Trade Liberalization</w:t>
      </w:r>
      <w:r w:rsidRPr="00077B34">
        <w:rPr>
          <w:sz w:val="24"/>
          <w:szCs w:val="24"/>
          <w:lang w:val="en-US"/>
        </w:rPr>
        <w:t xml:space="preserve">: Tariffs </w:t>
      </w:r>
      <w:proofErr w:type="gramStart"/>
      <w:r w:rsidRPr="00077B34">
        <w:rPr>
          <w:sz w:val="24"/>
          <w:szCs w:val="24"/>
          <w:lang w:val="en-US"/>
        </w:rPr>
        <w:t>should be minimized</w:t>
      </w:r>
      <w:proofErr w:type="gramEnd"/>
      <w:r w:rsidRPr="00077B34">
        <w:rPr>
          <w:sz w:val="24"/>
          <w:szCs w:val="24"/>
          <w:lang w:val="en-US"/>
        </w:rPr>
        <w:t xml:space="preserve"> and should never be applied toward intermediate goods needed to produce exports.</w:t>
      </w:r>
    </w:p>
    <w:p w:rsidR="00DC0501" w:rsidRPr="00077B34" w:rsidRDefault="00DC0501" w:rsidP="00DC0501">
      <w:pPr>
        <w:jc w:val="both"/>
        <w:rPr>
          <w:sz w:val="24"/>
          <w:szCs w:val="24"/>
          <w:lang w:val="en-US"/>
        </w:rPr>
      </w:pPr>
      <w:r w:rsidRPr="00077B34">
        <w:rPr>
          <w:b/>
          <w:i/>
          <w:sz w:val="24"/>
          <w:szCs w:val="24"/>
          <w:lang w:val="en-US"/>
        </w:rPr>
        <w:t>7</w:t>
      </w:r>
      <w:r w:rsidRPr="00077B34">
        <w:rPr>
          <w:b/>
          <w:i/>
          <w:sz w:val="24"/>
          <w:szCs w:val="24"/>
          <w:lang w:val="en-US"/>
        </w:rPr>
        <w:t> Foreign Direct Investment</w:t>
      </w:r>
      <w:r w:rsidRPr="00077B34">
        <w:rPr>
          <w:sz w:val="24"/>
          <w:szCs w:val="24"/>
          <w:lang w:val="en-US"/>
        </w:rPr>
        <w:t>: Foreign investment can bring needed capital and skills and, therefore, should be encouraged.</w:t>
      </w:r>
    </w:p>
    <w:p w:rsidR="00DC0501" w:rsidRPr="00077B34" w:rsidRDefault="00DC0501" w:rsidP="00DC0501">
      <w:pPr>
        <w:jc w:val="both"/>
        <w:rPr>
          <w:sz w:val="24"/>
          <w:szCs w:val="24"/>
          <w:lang w:val="en-US"/>
        </w:rPr>
      </w:pPr>
      <w:r w:rsidRPr="00077B34">
        <w:rPr>
          <w:b/>
          <w:i/>
          <w:sz w:val="24"/>
          <w:szCs w:val="24"/>
          <w:lang w:val="en-US"/>
        </w:rPr>
        <w:t>8</w:t>
      </w:r>
      <w:r w:rsidRPr="00077B34">
        <w:rPr>
          <w:b/>
          <w:i/>
          <w:sz w:val="24"/>
          <w:szCs w:val="24"/>
          <w:lang w:val="en-US"/>
        </w:rPr>
        <w:t> Privatization</w:t>
      </w:r>
      <w:r w:rsidRPr="00077B34">
        <w:rPr>
          <w:sz w:val="24"/>
          <w:szCs w:val="24"/>
          <w:lang w:val="en-US"/>
        </w:rPr>
        <w:t xml:space="preserve">: Private industry operates more efficiently because managers </w:t>
      </w:r>
      <w:proofErr w:type="gramStart"/>
      <w:r w:rsidRPr="00077B34">
        <w:rPr>
          <w:sz w:val="24"/>
          <w:szCs w:val="24"/>
          <w:lang w:val="en-US"/>
        </w:rPr>
        <w:t>either have</w:t>
      </w:r>
      <w:proofErr w:type="gramEnd"/>
      <w:r w:rsidRPr="00077B34">
        <w:rPr>
          <w:sz w:val="24"/>
          <w:szCs w:val="24"/>
          <w:lang w:val="en-US"/>
        </w:rPr>
        <w:t xml:space="preserve"> a “direct personal stake in the profits of an enterprise or are accountable to those who do.” State-owned enterprises ought to </w:t>
      </w:r>
      <w:proofErr w:type="gramStart"/>
      <w:r w:rsidRPr="00077B34">
        <w:rPr>
          <w:sz w:val="24"/>
          <w:szCs w:val="24"/>
          <w:lang w:val="en-US"/>
        </w:rPr>
        <w:t>be privatized</w:t>
      </w:r>
      <w:proofErr w:type="gramEnd"/>
      <w:r w:rsidRPr="00077B34">
        <w:rPr>
          <w:sz w:val="24"/>
          <w:szCs w:val="24"/>
          <w:lang w:val="en-US"/>
        </w:rPr>
        <w:t>.</w:t>
      </w:r>
    </w:p>
    <w:p w:rsidR="00DC0501" w:rsidRPr="00077B34" w:rsidRDefault="00DC0501" w:rsidP="00DC0501">
      <w:pPr>
        <w:jc w:val="both"/>
        <w:rPr>
          <w:sz w:val="24"/>
          <w:szCs w:val="24"/>
          <w:lang w:val="en-US"/>
        </w:rPr>
      </w:pPr>
      <w:r w:rsidRPr="00077B34">
        <w:rPr>
          <w:b/>
          <w:i/>
          <w:sz w:val="24"/>
          <w:szCs w:val="24"/>
          <w:lang w:val="en-US"/>
        </w:rPr>
        <w:t>9</w:t>
      </w:r>
      <w:r w:rsidRPr="00077B34">
        <w:rPr>
          <w:b/>
          <w:i/>
          <w:sz w:val="24"/>
          <w:szCs w:val="24"/>
          <w:lang w:val="en-US"/>
        </w:rPr>
        <w:t> Deregulation</w:t>
      </w:r>
      <w:r w:rsidRPr="00077B34">
        <w:rPr>
          <w:sz w:val="24"/>
          <w:szCs w:val="24"/>
          <w:lang w:val="en-US"/>
        </w:rPr>
        <w:t>: Excessive government regulation can promote corruption and discriminate against smaller enterprises that have minimal access to the higher reaches of the bureaucracy. Governments have to deregulate the economy.</w:t>
      </w:r>
    </w:p>
    <w:p w:rsidR="00DC0501" w:rsidRPr="00077B34" w:rsidRDefault="00DC0501" w:rsidP="00DC0501">
      <w:pPr>
        <w:jc w:val="both"/>
        <w:rPr>
          <w:sz w:val="24"/>
          <w:szCs w:val="24"/>
          <w:lang w:val="en-US"/>
        </w:rPr>
      </w:pPr>
      <w:r w:rsidRPr="00077B34">
        <w:rPr>
          <w:b/>
          <w:i/>
          <w:sz w:val="24"/>
          <w:szCs w:val="24"/>
          <w:lang w:val="en-US"/>
        </w:rPr>
        <w:t>10</w:t>
      </w:r>
      <w:r w:rsidRPr="00077B34">
        <w:rPr>
          <w:b/>
          <w:i/>
          <w:sz w:val="24"/>
          <w:szCs w:val="24"/>
          <w:lang w:val="en-US"/>
        </w:rPr>
        <w:t> Property Rights</w:t>
      </w:r>
      <w:r w:rsidRPr="00077B34">
        <w:rPr>
          <w:sz w:val="24"/>
          <w:szCs w:val="24"/>
          <w:lang w:val="en-US"/>
        </w:rPr>
        <w:t xml:space="preserve">: Property rights </w:t>
      </w:r>
      <w:proofErr w:type="gramStart"/>
      <w:r w:rsidRPr="00077B34">
        <w:rPr>
          <w:sz w:val="24"/>
          <w:szCs w:val="24"/>
          <w:lang w:val="en-US"/>
        </w:rPr>
        <w:t>must be enforced</w:t>
      </w:r>
      <w:proofErr w:type="gramEnd"/>
      <w:r w:rsidRPr="00077B34">
        <w:rPr>
          <w:sz w:val="24"/>
          <w:szCs w:val="24"/>
          <w:lang w:val="en-US"/>
        </w:rPr>
        <w:t>. Weak laws and poor judicial systems reduce incentives to save and accumulate wealth.</w:t>
      </w:r>
    </w:p>
    <w:bookmarkEnd w:id="0"/>
    <w:p w:rsidR="00DC0501" w:rsidRPr="00077B34" w:rsidRDefault="00DC0501" w:rsidP="00DC0501">
      <w:pPr>
        <w:jc w:val="both"/>
        <w:rPr>
          <w:b/>
          <w:i/>
          <w:sz w:val="24"/>
          <w:szCs w:val="24"/>
        </w:rPr>
      </w:pPr>
    </w:p>
    <w:p w:rsidR="00DC0501" w:rsidRDefault="00DC0501" w:rsidP="00DC0501">
      <w:pPr>
        <w:jc w:val="both"/>
        <w:rPr>
          <w:b/>
          <w:i/>
          <w:sz w:val="28"/>
          <w:szCs w:val="28"/>
        </w:rPr>
      </w:pPr>
      <w:r w:rsidRPr="00DC0501">
        <w:rPr>
          <w:b/>
          <w:i/>
          <w:sz w:val="28"/>
          <w:szCs w:val="28"/>
        </w:rPr>
        <w:t>L</w:t>
      </w:r>
      <w:r>
        <w:rPr>
          <w:b/>
          <w:i/>
          <w:sz w:val="28"/>
          <w:szCs w:val="28"/>
        </w:rPr>
        <w:t>os</w:t>
      </w:r>
      <w:r w:rsidRPr="00DC0501">
        <w:rPr>
          <w:b/>
          <w:i/>
          <w:sz w:val="28"/>
          <w:szCs w:val="28"/>
        </w:rPr>
        <w:t xml:space="preserve"> tres principales </w:t>
      </w:r>
      <w:r>
        <w:rPr>
          <w:b/>
          <w:i/>
          <w:sz w:val="28"/>
          <w:szCs w:val="28"/>
        </w:rPr>
        <w:t>objetivos</w:t>
      </w:r>
      <w:r w:rsidRPr="00DC0501">
        <w:rPr>
          <w:b/>
          <w:i/>
          <w:sz w:val="28"/>
          <w:szCs w:val="28"/>
        </w:rPr>
        <w:t xml:space="preserve"> presentad</w:t>
      </w:r>
      <w:r>
        <w:rPr>
          <w:b/>
          <w:i/>
          <w:sz w:val="28"/>
          <w:szCs w:val="28"/>
        </w:rPr>
        <w:t>o</w:t>
      </w:r>
      <w:r w:rsidRPr="00DC0501">
        <w:rPr>
          <w:b/>
          <w:i/>
          <w:sz w:val="28"/>
          <w:szCs w:val="28"/>
        </w:rPr>
        <w:t>s en el CONCENSO DE WASHINGTON son: lograr disciplina macroeconómica, el desarrollo y promoción de una economía de mercado y una apertura general de todo el mundo.</w:t>
      </w:r>
    </w:p>
    <w:p w:rsidR="00DC4479" w:rsidRDefault="00DC4479" w:rsidP="00DC0501">
      <w:pPr>
        <w:jc w:val="both"/>
        <w:rPr>
          <w:b/>
          <w:i/>
          <w:sz w:val="28"/>
          <w:szCs w:val="28"/>
        </w:rPr>
      </w:pPr>
    </w:p>
    <w:p w:rsidR="00DC0501" w:rsidRDefault="00DC0501" w:rsidP="00DC0501">
      <w:pPr>
        <w:jc w:val="both"/>
        <w:rPr>
          <w:b/>
          <w:i/>
          <w:sz w:val="28"/>
          <w:szCs w:val="28"/>
        </w:rPr>
      </w:pPr>
    </w:p>
    <w:sectPr w:rsidR="00DC0501" w:rsidSect="00077B34">
      <w:pgSz w:w="12240" w:h="15840"/>
      <w:pgMar w:top="993" w:right="90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01"/>
    <w:rsid w:val="00077B34"/>
    <w:rsid w:val="00155335"/>
    <w:rsid w:val="00195E69"/>
    <w:rsid w:val="0048318D"/>
    <w:rsid w:val="005A56F2"/>
    <w:rsid w:val="00936181"/>
    <w:rsid w:val="00DC0501"/>
    <w:rsid w:val="00DC4479"/>
    <w:rsid w:val="00E579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6A9D3-0B04-4BF7-9088-3B92B594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A56F2"/>
    <w:rPr>
      <w:color w:val="0000FF"/>
      <w:u w:val="single"/>
    </w:rPr>
  </w:style>
  <w:style w:type="paragraph" w:styleId="NormalWeb">
    <w:name w:val="Normal (Web)"/>
    <w:basedOn w:val="Normal"/>
    <w:uiPriority w:val="99"/>
    <w:unhideWhenUsed/>
    <w:rsid w:val="0015533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155335"/>
    <w:rPr>
      <w:i/>
      <w:iCs/>
    </w:rPr>
  </w:style>
  <w:style w:type="character" w:styleId="Textoennegrita">
    <w:name w:val="Strong"/>
    <w:basedOn w:val="Fuentedeprrafopredeter"/>
    <w:uiPriority w:val="22"/>
    <w:qFormat/>
    <w:rsid w:val="00155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84236">
      <w:bodyDiv w:val="1"/>
      <w:marLeft w:val="0"/>
      <w:marRight w:val="0"/>
      <w:marTop w:val="0"/>
      <w:marBottom w:val="0"/>
      <w:divBdr>
        <w:top w:val="none" w:sz="0" w:space="0" w:color="auto"/>
        <w:left w:val="none" w:sz="0" w:space="0" w:color="auto"/>
        <w:bottom w:val="none" w:sz="0" w:space="0" w:color="auto"/>
        <w:right w:val="none" w:sz="0" w:space="0" w:color="auto"/>
      </w:divBdr>
      <w:divsChild>
        <w:div w:id="566191517">
          <w:marLeft w:val="0"/>
          <w:marRight w:val="0"/>
          <w:marTop w:val="0"/>
          <w:marBottom w:val="0"/>
          <w:divBdr>
            <w:top w:val="none" w:sz="0" w:space="0" w:color="auto"/>
            <w:left w:val="none" w:sz="0" w:space="0" w:color="auto"/>
            <w:bottom w:val="none" w:sz="0" w:space="0" w:color="auto"/>
            <w:right w:val="none" w:sz="0" w:space="0" w:color="auto"/>
          </w:divBdr>
          <w:divsChild>
            <w:div w:id="395052127">
              <w:marLeft w:val="0"/>
              <w:marRight w:val="0"/>
              <w:marTop w:val="0"/>
              <w:marBottom w:val="0"/>
              <w:divBdr>
                <w:top w:val="none" w:sz="0" w:space="0" w:color="auto"/>
                <w:left w:val="none" w:sz="0" w:space="0" w:color="auto"/>
                <w:bottom w:val="none" w:sz="0" w:space="0" w:color="auto"/>
                <w:right w:val="none" w:sz="0" w:space="0" w:color="auto"/>
              </w:divBdr>
            </w:div>
          </w:divsChild>
        </w:div>
        <w:div w:id="1566256849">
          <w:marLeft w:val="0"/>
          <w:marRight w:val="0"/>
          <w:marTop w:val="0"/>
          <w:marBottom w:val="0"/>
          <w:divBdr>
            <w:top w:val="none" w:sz="0" w:space="0" w:color="auto"/>
            <w:left w:val="none" w:sz="0" w:space="0" w:color="auto"/>
            <w:bottom w:val="none" w:sz="0" w:space="0" w:color="auto"/>
            <w:right w:val="none" w:sz="0" w:space="0" w:color="auto"/>
          </w:divBdr>
        </w:div>
        <w:div w:id="7220179">
          <w:marLeft w:val="0"/>
          <w:marRight w:val="0"/>
          <w:marTop w:val="0"/>
          <w:marBottom w:val="0"/>
          <w:divBdr>
            <w:top w:val="none" w:sz="0" w:space="0" w:color="auto"/>
            <w:left w:val="none" w:sz="0" w:space="0" w:color="auto"/>
            <w:bottom w:val="none" w:sz="0" w:space="0" w:color="auto"/>
            <w:right w:val="none" w:sz="0" w:space="0" w:color="auto"/>
          </w:divBdr>
          <w:divsChild>
            <w:div w:id="201747609">
              <w:marLeft w:val="0"/>
              <w:marRight w:val="0"/>
              <w:marTop w:val="0"/>
              <w:marBottom w:val="0"/>
              <w:divBdr>
                <w:top w:val="none" w:sz="0" w:space="0" w:color="auto"/>
                <w:left w:val="none" w:sz="0" w:space="0" w:color="auto"/>
                <w:bottom w:val="none" w:sz="0" w:space="0" w:color="auto"/>
                <w:right w:val="none" w:sz="0" w:space="0" w:color="auto"/>
              </w:divBdr>
            </w:div>
          </w:divsChild>
        </w:div>
        <w:div w:id="1352300673">
          <w:marLeft w:val="0"/>
          <w:marRight w:val="0"/>
          <w:marTop w:val="0"/>
          <w:marBottom w:val="0"/>
          <w:divBdr>
            <w:top w:val="none" w:sz="0" w:space="0" w:color="auto"/>
            <w:left w:val="none" w:sz="0" w:space="0" w:color="auto"/>
            <w:bottom w:val="none" w:sz="0" w:space="0" w:color="auto"/>
            <w:right w:val="none" w:sz="0" w:space="0" w:color="auto"/>
          </w:divBdr>
        </w:div>
        <w:div w:id="2145073075">
          <w:marLeft w:val="0"/>
          <w:marRight w:val="0"/>
          <w:marTop w:val="0"/>
          <w:marBottom w:val="0"/>
          <w:divBdr>
            <w:top w:val="none" w:sz="0" w:space="0" w:color="auto"/>
            <w:left w:val="none" w:sz="0" w:space="0" w:color="auto"/>
            <w:bottom w:val="none" w:sz="0" w:space="0" w:color="auto"/>
            <w:right w:val="none" w:sz="0" w:space="0" w:color="auto"/>
          </w:divBdr>
          <w:divsChild>
            <w:div w:id="918949260">
              <w:marLeft w:val="0"/>
              <w:marRight w:val="0"/>
              <w:marTop w:val="0"/>
              <w:marBottom w:val="0"/>
              <w:divBdr>
                <w:top w:val="none" w:sz="0" w:space="0" w:color="auto"/>
                <w:left w:val="none" w:sz="0" w:space="0" w:color="auto"/>
                <w:bottom w:val="none" w:sz="0" w:space="0" w:color="auto"/>
                <w:right w:val="none" w:sz="0" w:space="0" w:color="auto"/>
              </w:divBdr>
            </w:div>
          </w:divsChild>
        </w:div>
        <w:div w:id="1660230643">
          <w:marLeft w:val="0"/>
          <w:marRight w:val="0"/>
          <w:marTop w:val="0"/>
          <w:marBottom w:val="0"/>
          <w:divBdr>
            <w:top w:val="none" w:sz="0" w:space="0" w:color="auto"/>
            <w:left w:val="none" w:sz="0" w:space="0" w:color="auto"/>
            <w:bottom w:val="none" w:sz="0" w:space="0" w:color="auto"/>
            <w:right w:val="none" w:sz="0" w:space="0" w:color="auto"/>
          </w:divBdr>
        </w:div>
        <w:div w:id="1836722314">
          <w:marLeft w:val="0"/>
          <w:marRight w:val="0"/>
          <w:marTop w:val="0"/>
          <w:marBottom w:val="0"/>
          <w:divBdr>
            <w:top w:val="none" w:sz="0" w:space="0" w:color="auto"/>
            <w:left w:val="none" w:sz="0" w:space="0" w:color="auto"/>
            <w:bottom w:val="none" w:sz="0" w:space="0" w:color="auto"/>
            <w:right w:val="none" w:sz="0" w:space="0" w:color="auto"/>
          </w:divBdr>
          <w:divsChild>
            <w:div w:id="1637829951">
              <w:marLeft w:val="0"/>
              <w:marRight w:val="0"/>
              <w:marTop w:val="0"/>
              <w:marBottom w:val="0"/>
              <w:divBdr>
                <w:top w:val="none" w:sz="0" w:space="0" w:color="auto"/>
                <w:left w:val="none" w:sz="0" w:space="0" w:color="auto"/>
                <w:bottom w:val="none" w:sz="0" w:space="0" w:color="auto"/>
                <w:right w:val="none" w:sz="0" w:space="0" w:color="auto"/>
              </w:divBdr>
            </w:div>
          </w:divsChild>
        </w:div>
        <w:div w:id="1457599337">
          <w:marLeft w:val="0"/>
          <w:marRight w:val="0"/>
          <w:marTop w:val="0"/>
          <w:marBottom w:val="0"/>
          <w:divBdr>
            <w:top w:val="none" w:sz="0" w:space="0" w:color="auto"/>
            <w:left w:val="none" w:sz="0" w:space="0" w:color="auto"/>
            <w:bottom w:val="none" w:sz="0" w:space="0" w:color="auto"/>
            <w:right w:val="none" w:sz="0" w:space="0" w:color="auto"/>
          </w:divBdr>
        </w:div>
        <w:div w:id="1804544396">
          <w:marLeft w:val="0"/>
          <w:marRight w:val="0"/>
          <w:marTop w:val="0"/>
          <w:marBottom w:val="0"/>
          <w:divBdr>
            <w:top w:val="none" w:sz="0" w:space="0" w:color="auto"/>
            <w:left w:val="none" w:sz="0" w:space="0" w:color="auto"/>
            <w:bottom w:val="none" w:sz="0" w:space="0" w:color="auto"/>
            <w:right w:val="none" w:sz="0" w:space="0" w:color="auto"/>
          </w:divBdr>
          <w:divsChild>
            <w:div w:id="929848354">
              <w:marLeft w:val="0"/>
              <w:marRight w:val="0"/>
              <w:marTop w:val="0"/>
              <w:marBottom w:val="0"/>
              <w:divBdr>
                <w:top w:val="none" w:sz="0" w:space="0" w:color="auto"/>
                <w:left w:val="none" w:sz="0" w:space="0" w:color="auto"/>
                <w:bottom w:val="none" w:sz="0" w:space="0" w:color="auto"/>
                <w:right w:val="none" w:sz="0" w:space="0" w:color="auto"/>
              </w:divBdr>
            </w:div>
          </w:divsChild>
        </w:div>
        <w:div w:id="1765106804">
          <w:marLeft w:val="0"/>
          <w:marRight w:val="0"/>
          <w:marTop w:val="0"/>
          <w:marBottom w:val="0"/>
          <w:divBdr>
            <w:top w:val="none" w:sz="0" w:space="0" w:color="auto"/>
            <w:left w:val="none" w:sz="0" w:space="0" w:color="auto"/>
            <w:bottom w:val="none" w:sz="0" w:space="0" w:color="auto"/>
            <w:right w:val="none" w:sz="0" w:space="0" w:color="auto"/>
          </w:divBdr>
        </w:div>
        <w:div w:id="225384890">
          <w:marLeft w:val="0"/>
          <w:marRight w:val="0"/>
          <w:marTop w:val="0"/>
          <w:marBottom w:val="0"/>
          <w:divBdr>
            <w:top w:val="none" w:sz="0" w:space="0" w:color="auto"/>
            <w:left w:val="none" w:sz="0" w:space="0" w:color="auto"/>
            <w:bottom w:val="none" w:sz="0" w:space="0" w:color="auto"/>
            <w:right w:val="none" w:sz="0" w:space="0" w:color="auto"/>
          </w:divBdr>
          <w:divsChild>
            <w:div w:id="1779523293">
              <w:marLeft w:val="0"/>
              <w:marRight w:val="0"/>
              <w:marTop w:val="0"/>
              <w:marBottom w:val="0"/>
              <w:divBdr>
                <w:top w:val="none" w:sz="0" w:space="0" w:color="auto"/>
                <w:left w:val="none" w:sz="0" w:space="0" w:color="auto"/>
                <w:bottom w:val="none" w:sz="0" w:space="0" w:color="auto"/>
                <w:right w:val="none" w:sz="0" w:space="0" w:color="auto"/>
              </w:divBdr>
            </w:div>
          </w:divsChild>
        </w:div>
        <w:div w:id="130707098">
          <w:marLeft w:val="0"/>
          <w:marRight w:val="0"/>
          <w:marTop w:val="0"/>
          <w:marBottom w:val="0"/>
          <w:divBdr>
            <w:top w:val="none" w:sz="0" w:space="0" w:color="auto"/>
            <w:left w:val="none" w:sz="0" w:space="0" w:color="auto"/>
            <w:bottom w:val="none" w:sz="0" w:space="0" w:color="auto"/>
            <w:right w:val="none" w:sz="0" w:space="0" w:color="auto"/>
          </w:divBdr>
        </w:div>
        <w:div w:id="746222363">
          <w:marLeft w:val="0"/>
          <w:marRight w:val="0"/>
          <w:marTop w:val="0"/>
          <w:marBottom w:val="0"/>
          <w:divBdr>
            <w:top w:val="none" w:sz="0" w:space="0" w:color="auto"/>
            <w:left w:val="none" w:sz="0" w:space="0" w:color="auto"/>
            <w:bottom w:val="none" w:sz="0" w:space="0" w:color="auto"/>
            <w:right w:val="none" w:sz="0" w:space="0" w:color="auto"/>
          </w:divBdr>
          <w:divsChild>
            <w:div w:id="429665217">
              <w:marLeft w:val="0"/>
              <w:marRight w:val="0"/>
              <w:marTop w:val="0"/>
              <w:marBottom w:val="0"/>
              <w:divBdr>
                <w:top w:val="none" w:sz="0" w:space="0" w:color="auto"/>
                <w:left w:val="none" w:sz="0" w:space="0" w:color="auto"/>
                <w:bottom w:val="none" w:sz="0" w:space="0" w:color="auto"/>
                <w:right w:val="none" w:sz="0" w:space="0" w:color="auto"/>
              </w:divBdr>
            </w:div>
          </w:divsChild>
        </w:div>
        <w:div w:id="1907641119">
          <w:marLeft w:val="0"/>
          <w:marRight w:val="0"/>
          <w:marTop w:val="0"/>
          <w:marBottom w:val="0"/>
          <w:divBdr>
            <w:top w:val="none" w:sz="0" w:space="0" w:color="auto"/>
            <w:left w:val="none" w:sz="0" w:space="0" w:color="auto"/>
            <w:bottom w:val="none" w:sz="0" w:space="0" w:color="auto"/>
            <w:right w:val="none" w:sz="0" w:space="0" w:color="auto"/>
          </w:divBdr>
        </w:div>
        <w:div w:id="1221013594">
          <w:marLeft w:val="0"/>
          <w:marRight w:val="0"/>
          <w:marTop w:val="0"/>
          <w:marBottom w:val="0"/>
          <w:divBdr>
            <w:top w:val="none" w:sz="0" w:space="0" w:color="auto"/>
            <w:left w:val="none" w:sz="0" w:space="0" w:color="auto"/>
            <w:bottom w:val="none" w:sz="0" w:space="0" w:color="auto"/>
            <w:right w:val="none" w:sz="0" w:space="0" w:color="auto"/>
          </w:divBdr>
          <w:divsChild>
            <w:div w:id="373770809">
              <w:marLeft w:val="0"/>
              <w:marRight w:val="0"/>
              <w:marTop w:val="0"/>
              <w:marBottom w:val="0"/>
              <w:divBdr>
                <w:top w:val="none" w:sz="0" w:space="0" w:color="auto"/>
                <w:left w:val="none" w:sz="0" w:space="0" w:color="auto"/>
                <w:bottom w:val="none" w:sz="0" w:space="0" w:color="auto"/>
                <w:right w:val="none" w:sz="0" w:space="0" w:color="auto"/>
              </w:divBdr>
            </w:div>
          </w:divsChild>
        </w:div>
        <w:div w:id="263078359">
          <w:marLeft w:val="0"/>
          <w:marRight w:val="0"/>
          <w:marTop w:val="0"/>
          <w:marBottom w:val="0"/>
          <w:divBdr>
            <w:top w:val="none" w:sz="0" w:space="0" w:color="auto"/>
            <w:left w:val="none" w:sz="0" w:space="0" w:color="auto"/>
            <w:bottom w:val="none" w:sz="0" w:space="0" w:color="auto"/>
            <w:right w:val="none" w:sz="0" w:space="0" w:color="auto"/>
          </w:divBdr>
        </w:div>
        <w:div w:id="145634812">
          <w:marLeft w:val="0"/>
          <w:marRight w:val="0"/>
          <w:marTop w:val="0"/>
          <w:marBottom w:val="0"/>
          <w:divBdr>
            <w:top w:val="none" w:sz="0" w:space="0" w:color="auto"/>
            <w:left w:val="none" w:sz="0" w:space="0" w:color="auto"/>
            <w:bottom w:val="none" w:sz="0" w:space="0" w:color="auto"/>
            <w:right w:val="none" w:sz="0" w:space="0" w:color="auto"/>
          </w:divBdr>
          <w:divsChild>
            <w:div w:id="12512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7123">
      <w:bodyDiv w:val="1"/>
      <w:marLeft w:val="0"/>
      <w:marRight w:val="0"/>
      <w:marTop w:val="0"/>
      <w:marBottom w:val="0"/>
      <w:divBdr>
        <w:top w:val="none" w:sz="0" w:space="0" w:color="auto"/>
        <w:left w:val="none" w:sz="0" w:space="0" w:color="auto"/>
        <w:bottom w:val="none" w:sz="0" w:space="0" w:color="auto"/>
        <w:right w:val="none" w:sz="0" w:space="0" w:color="auto"/>
      </w:divBdr>
    </w:div>
    <w:div w:id="1346861645">
      <w:bodyDiv w:val="1"/>
      <w:marLeft w:val="0"/>
      <w:marRight w:val="0"/>
      <w:marTop w:val="0"/>
      <w:marBottom w:val="0"/>
      <w:divBdr>
        <w:top w:val="none" w:sz="0" w:space="0" w:color="auto"/>
        <w:left w:val="none" w:sz="0" w:space="0" w:color="auto"/>
        <w:bottom w:val="none" w:sz="0" w:space="0" w:color="auto"/>
        <w:right w:val="none" w:sz="0" w:space="0" w:color="auto"/>
      </w:divBdr>
    </w:div>
    <w:div w:id="1629628566">
      <w:bodyDiv w:val="1"/>
      <w:marLeft w:val="0"/>
      <w:marRight w:val="0"/>
      <w:marTop w:val="0"/>
      <w:marBottom w:val="0"/>
      <w:divBdr>
        <w:top w:val="none" w:sz="0" w:space="0" w:color="auto"/>
        <w:left w:val="none" w:sz="0" w:space="0" w:color="auto"/>
        <w:bottom w:val="none" w:sz="0" w:space="0" w:color="auto"/>
        <w:right w:val="none" w:sz="0" w:space="0" w:color="auto"/>
      </w:divBdr>
    </w:div>
    <w:div w:id="1991052815">
      <w:bodyDiv w:val="1"/>
      <w:marLeft w:val="0"/>
      <w:marRight w:val="0"/>
      <w:marTop w:val="0"/>
      <w:marBottom w:val="0"/>
      <w:divBdr>
        <w:top w:val="none" w:sz="0" w:space="0" w:color="auto"/>
        <w:left w:val="none" w:sz="0" w:space="0" w:color="auto"/>
        <w:bottom w:val="none" w:sz="0" w:space="0" w:color="auto"/>
        <w:right w:val="none" w:sz="0" w:space="0" w:color="auto"/>
      </w:divBdr>
      <w:divsChild>
        <w:div w:id="246154325">
          <w:marLeft w:val="0"/>
          <w:marRight w:val="0"/>
          <w:marTop w:val="240"/>
          <w:marBottom w:val="240"/>
          <w:divBdr>
            <w:top w:val="none" w:sz="0" w:space="0" w:color="auto"/>
            <w:left w:val="none" w:sz="0" w:space="0" w:color="auto"/>
            <w:bottom w:val="none" w:sz="0" w:space="0" w:color="auto"/>
            <w:right w:val="none" w:sz="0" w:space="0" w:color="auto"/>
          </w:divBdr>
        </w:div>
        <w:div w:id="116925449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A3F86-067C-419C-A60D-CD5AB292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 Lopez C</dc:creator>
  <cp:keywords/>
  <dc:description/>
  <cp:lastModifiedBy>José A Lopez C</cp:lastModifiedBy>
  <cp:revision>2</cp:revision>
  <dcterms:created xsi:type="dcterms:W3CDTF">2020-05-27T18:59:00Z</dcterms:created>
  <dcterms:modified xsi:type="dcterms:W3CDTF">2020-05-27T18:59:00Z</dcterms:modified>
</cp:coreProperties>
</file>